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4E0AC" w14:textId="7E8A9F64" w:rsidR="00EB2FDF" w:rsidRDefault="00EB4FBF">
      <w:pPr>
        <w:tabs>
          <w:tab w:val="left" w:pos="0"/>
        </w:tabs>
        <w:jc w:val="center"/>
        <w:rPr>
          <w:rFonts w:ascii="Arial" w:eastAsia="Arial" w:hAnsi="Arial" w:cs="Arial"/>
          <w:b/>
          <w:bCs/>
          <w:sz w:val="20"/>
          <w:lang w:val="en-US"/>
        </w:rPr>
      </w:pPr>
      <w:r>
        <w:rPr>
          <w:rFonts w:ascii="Arial" w:eastAsia="Arial" w:hAnsi="Arial" w:cs="Arial"/>
          <w:b/>
          <w:bCs/>
          <w:sz w:val="20"/>
          <w:lang w:val="en-US"/>
        </w:rPr>
        <w:t>Lowestoft</w:t>
      </w:r>
      <w:r w:rsidR="00C97720" w:rsidRPr="00C97720">
        <w:rPr>
          <w:rFonts w:ascii="Arial" w:eastAsia="Arial" w:hAnsi="Arial" w:cs="Arial"/>
          <w:b/>
          <w:bCs/>
          <w:sz w:val="20"/>
          <w:lang w:val="en-US"/>
        </w:rPr>
        <w:t xml:space="preserve"> Time Bank</w:t>
      </w:r>
    </w:p>
    <w:p w14:paraId="303BE7E6" w14:textId="77777777" w:rsidR="00C97720" w:rsidRPr="00C97720" w:rsidRDefault="00C97720">
      <w:pPr>
        <w:tabs>
          <w:tab w:val="left" w:pos="0"/>
        </w:tabs>
        <w:jc w:val="center"/>
        <w:rPr>
          <w:rFonts w:ascii="Arial" w:eastAsia="Arial" w:hAnsi="Arial" w:cs="Arial"/>
          <w:b/>
          <w:bCs/>
          <w:sz w:val="20"/>
          <w:lang w:val="en-US"/>
        </w:rPr>
      </w:pPr>
    </w:p>
    <w:p w14:paraId="053C2BFD" w14:textId="77777777" w:rsidR="001D05BD" w:rsidRDefault="001D05BD">
      <w:pPr>
        <w:pStyle w:val="1AutoList1"/>
        <w:tabs>
          <w:tab w:val="clear" w:pos="2160"/>
          <w:tab w:val="left" w:pos="0"/>
        </w:tabs>
        <w:ind w:left="0" w:firstLine="0"/>
        <w:jc w:val="center"/>
        <w:rPr>
          <w:rFonts w:ascii="Arial" w:hAnsi="Arial" w:cs="Arial"/>
          <w:b/>
          <w:bCs/>
          <w:sz w:val="20"/>
          <w:szCs w:val="20"/>
          <w:lang w:val="en-US"/>
        </w:rPr>
      </w:pPr>
      <w:r>
        <w:rPr>
          <w:rFonts w:ascii="Arial" w:hAnsi="Arial" w:cs="Arial"/>
          <w:b/>
          <w:bCs/>
          <w:sz w:val="20"/>
          <w:szCs w:val="20"/>
          <w:lang w:val="en-US"/>
        </w:rPr>
        <w:t>Diversity and Equalities Policy</w:t>
      </w:r>
    </w:p>
    <w:p w14:paraId="7070482F" w14:textId="77777777" w:rsidR="001D05BD" w:rsidRDefault="001D05BD">
      <w:pPr>
        <w:jc w:val="left"/>
        <w:rPr>
          <w:rFonts w:ascii="Arial" w:hAnsi="Arial" w:cs="Arial"/>
          <w:sz w:val="20"/>
          <w:lang w:val="en-US"/>
        </w:rPr>
      </w:pPr>
    </w:p>
    <w:p w14:paraId="1E8E2F45" w14:textId="77777777" w:rsidR="001D05BD" w:rsidRDefault="001D05BD">
      <w:pPr>
        <w:jc w:val="left"/>
        <w:rPr>
          <w:rFonts w:ascii="Arial" w:hAnsi="Arial" w:cs="Arial"/>
          <w:sz w:val="20"/>
          <w:u w:val="single"/>
        </w:rPr>
      </w:pPr>
      <w:r>
        <w:rPr>
          <w:rFonts w:ascii="Arial" w:hAnsi="Arial" w:cs="Arial"/>
          <w:sz w:val="20"/>
          <w:u w:val="single"/>
        </w:rPr>
        <w:t>Introduction</w:t>
      </w:r>
    </w:p>
    <w:p w14:paraId="4FB8336C" w14:textId="77777777" w:rsidR="001D05BD" w:rsidRDefault="001D05BD">
      <w:pPr>
        <w:jc w:val="left"/>
        <w:rPr>
          <w:rFonts w:ascii="Arial" w:hAnsi="Arial" w:cs="Arial"/>
          <w:color w:val="000000"/>
          <w:sz w:val="20"/>
        </w:rPr>
      </w:pPr>
    </w:p>
    <w:p w14:paraId="68998967" w14:textId="61C842E4" w:rsidR="001D05BD" w:rsidRDefault="001D05BD">
      <w:pPr>
        <w:jc w:val="left"/>
        <w:rPr>
          <w:rFonts w:ascii="Arial" w:hAnsi="Arial" w:cs="Arial"/>
          <w:color w:val="000000"/>
          <w:sz w:val="20"/>
        </w:rPr>
      </w:pPr>
      <w:r>
        <w:rPr>
          <w:rFonts w:ascii="Arial" w:hAnsi="Arial" w:cs="Arial"/>
          <w:color w:val="000000"/>
          <w:sz w:val="20"/>
        </w:rPr>
        <w:t xml:space="preserve">This policy aims to outline </w:t>
      </w:r>
      <w:r w:rsidR="00EB4FBF">
        <w:rPr>
          <w:rFonts w:ascii="Arial" w:hAnsi="Arial" w:cs="Arial"/>
          <w:color w:val="000000"/>
          <w:sz w:val="20"/>
        </w:rPr>
        <w:t>the commitment of Lowestoft</w:t>
      </w:r>
      <w:r w:rsidR="00C97720">
        <w:rPr>
          <w:rFonts w:ascii="Arial" w:hAnsi="Arial" w:cs="Arial"/>
          <w:color w:val="000000"/>
          <w:sz w:val="20"/>
        </w:rPr>
        <w:t xml:space="preserve"> Time Bank</w:t>
      </w:r>
      <w:r w:rsidR="00EB4FBF">
        <w:rPr>
          <w:rFonts w:ascii="Arial" w:hAnsi="Arial" w:cs="Arial"/>
          <w:color w:val="000000"/>
          <w:sz w:val="20"/>
        </w:rPr>
        <w:t xml:space="preserve"> </w:t>
      </w:r>
      <w:r w:rsidR="00513E0F">
        <w:rPr>
          <w:rFonts w:ascii="Arial" w:hAnsi="Arial" w:cs="Arial"/>
          <w:color w:val="000000"/>
          <w:sz w:val="20"/>
        </w:rPr>
        <w:t xml:space="preserve">(LTB) </w:t>
      </w:r>
      <w:r>
        <w:rPr>
          <w:rFonts w:ascii="Arial" w:hAnsi="Arial" w:cs="Arial"/>
          <w:color w:val="000000"/>
          <w:sz w:val="20"/>
        </w:rPr>
        <w:t>to ensuring equality of opportunity and equal treatment for staff, workers, Trustees, and customers in terms of employment and access to services; and to provide guidance on anti-discriminatory practice.  This policy is non-contractual.</w:t>
      </w:r>
    </w:p>
    <w:p w14:paraId="65392615" w14:textId="77777777" w:rsidR="001D05BD" w:rsidRDefault="001D05BD">
      <w:pPr>
        <w:jc w:val="left"/>
        <w:rPr>
          <w:rFonts w:ascii="Arial" w:hAnsi="Arial" w:cs="Arial"/>
          <w:color w:val="000000"/>
          <w:sz w:val="20"/>
        </w:rPr>
      </w:pPr>
    </w:p>
    <w:p w14:paraId="5C76E285" w14:textId="77777777" w:rsidR="001D05BD" w:rsidRDefault="001D05BD">
      <w:pPr>
        <w:jc w:val="left"/>
        <w:rPr>
          <w:rFonts w:ascii="Arial" w:hAnsi="Arial" w:cs="Arial"/>
          <w:color w:val="000000"/>
          <w:sz w:val="20"/>
          <w:u w:val="single"/>
        </w:rPr>
      </w:pPr>
      <w:r>
        <w:rPr>
          <w:rFonts w:ascii="Arial" w:hAnsi="Arial" w:cs="Arial"/>
          <w:color w:val="000000"/>
          <w:sz w:val="20"/>
          <w:u w:val="single"/>
        </w:rPr>
        <w:t>Scope</w:t>
      </w:r>
    </w:p>
    <w:p w14:paraId="57DD01ED" w14:textId="77777777" w:rsidR="001D05BD" w:rsidRDefault="001D05BD">
      <w:pPr>
        <w:jc w:val="left"/>
        <w:rPr>
          <w:rFonts w:ascii="Arial" w:hAnsi="Arial" w:cs="Arial"/>
          <w:color w:val="000000"/>
          <w:sz w:val="20"/>
        </w:rPr>
      </w:pPr>
    </w:p>
    <w:p w14:paraId="549FB35E" w14:textId="63C72EED" w:rsidR="001D05BD" w:rsidRDefault="001D05BD">
      <w:pPr>
        <w:jc w:val="left"/>
        <w:rPr>
          <w:rFonts w:ascii="Arial" w:hAnsi="Arial" w:cs="Arial"/>
          <w:color w:val="000000"/>
          <w:sz w:val="20"/>
        </w:rPr>
      </w:pPr>
      <w:r>
        <w:rPr>
          <w:rFonts w:ascii="Arial" w:hAnsi="Arial" w:cs="Arial"/>
          <w:color w:val="000000"/>
          <w:sz w:val="20"/>
        </w:rPr>
        <w:t xml:space="preserve">The policy applies to employees directly employed by </w:t>
      </w:r>
      <w:r w:rsidR="00513E0F">
        <w:rPr>
          <w:rFonts w:ascii="Arial" w:hAnsi="Arial" w:cs="Arial"/>
          <w:color w:val="000000"/>
          <w:sz w:val="20"/>
        </w:rPr>
        <w:t>LTB</w:t>
      </w:r>
      <w:r>
        <w:rPr>
          <w:rFonts w:ascii="Arial" w:hAnsi="Arial" w:cs="Arial"/>
          <w:color w:val="000000"/>
          <w:sz w:val="20"/>
        </w:rPr>
        <w:t>, contractors in terms of employment, Trustees, and</w:t>
      </w:r>
      <w:r w:rsidR="00EB2FDF">
        <w:rPr>
          <w:rFonts w:ascii="Arial" w:hAnsi="Arial" w:cs="Arial"/>
          <w:color w:val="000000"/>
          <w:sz w:val="20"/>
        </w:rPr>
        <w:t xml:space="preserve"> members. </w:t>
      </w:r>
      <w:r>
        <w:rPr>
          <w:rFonts w:ascii="Arial" w:hAnsi="Arial" w:cs="Arial"/>
          <w:color w:val="000000"/>
          <w:sz w:val="20"/>
        </w:rPr>
        <w:t>The policy applies specifically to discrimination and equality of opportunity in respect of ‘protected characteristics’ as defined in the Equalities Act 2010:</w:t>
      </w:r>
    </w:p>
    <w:p w14:paraId="0DB107ED" w14:textId="77777777" w:rsidR="001D05BD" w:rsidRDefault="001D05BD">
      <w:pPr>
        <w:jc w:val="left"/>
        <w:rPr>
          <w:rFonts w:ascii="Arial" w:hAnsi="Arial" w:cs="Arial"/>
          <w:color w:val="000000"/>
          <w:sz w:val="20"/>
        </w:rPr>
      </w:pPr>
    </w:p>
    <w:p w14:paraId="5B89BC5A" w14:textId="77777777" w:rsidR="001D05BD" w:rsidRDefault="001D05BD">
      <w:pPr>
        <w:pStyle w:val="BodyTextIndent"/>
        <w:numPr>
          <w:ilvl w:val="0"/>
          <w:numId w:val="3"/>
        </w:numPr>
        <w:overflowPunct w:val="0"/>
        <w:autoSpaceDE w:val="0"/>
        <w:spacing w:after="0"/>
        <w:textAlignment w:val="baseline"/>
        <w:rPr>
          <w:rFonts w:ascii="Arial" w:hAnsi="Arial" w:cs="Arial"/>
          <w:sz w:val="20"/>
        </w:rPr>
      </w:pPr>
      <w:r>
        <w:rPr>
          <w:rFonts w:ascii="Arial" w:hAnsi="Arial" w:cs="Arial"/>
          <w:sz w:val="20"/>
        </w:rPr>
        <w:t>Age</w:t>
      </w:r>
    </w:p>
    <w:p w14:paraId="4E0BBDCF" w14:textId="77777777" w:rsidR="001D05BD" w:rsidRDefault="001D05BD">
      <w:pPr>
        <w:pStyle w:val="BodyTextIndent"/>
        <w:numPr>
          <w:ilvl w:val="0"/>
          <w:numId w:val="3"/>
        </w:numPr>
        <w:overflowPunct w:val="0"/>
        <w:autoSpaceDE w:val="0"/>
        <w:spacing w:after="0"/>
        <w:textAlignment w:val="baseline"/>
        <w:rPr>
          <w:rFonts w:ascii="Arial" w:hAnsi="Arial" w:cs="Arial"/>
          <w:sz w:val="20"/>
        </w:rPr>
      </w:pPr>
      <w:r>
        <w:rPr>
          <w:rFonts w:ascii="Arial" w:hAnsi="Arial" w:cs="Arial"/>
          <w:sz w:val="20"/>
        </w:rPr>
        <w:t>Disability</w:t>
      </w:r>
    </w:p>
    <w:p w14:paraId="337D845E" w14:textId="77777777" w:rsidR="001D05BD" w:rsidRDefault="001D05BD">
      <w:pPr>
        <w:pStyle w:val="BodyTextIndent"/>
        <w:numPr>
          <w:ilvl w:val="0"/>
          <w:numId w:val="3"/>
        </w:numPr>
        <w:overflowPunct w:val="0"/>
        <w:autoSpaceDE w:val="0"/>
        <w:spacing w:after="0"/>
        <w:textAlignment w:val="baseline"/>
        <w:rPr>
          <w:rFonts w:ascii="Arial" w:hAnsi="Arial" w:cs="Arial"/>
          <w:sz w:val="20"/>
        </w:rPr>
      </w:pPr>
      <w:r>
        <w:rPr>
          <w:rFonts w:ascii="Arial" w:hAnsi="Arial" w:cs="Arial"/>
          <w:sz w:val="20"/>
        </w:rPr>
        <w:t>Race</w:t>
      </w:r>
    </w:p>
    <w:p w14:paraId="714BDFA4" w14:textId="77777777" w:rsidR="001D05BD" w:rsidRDefault="001D05BD">
      <w:pPr>
        <w:pStyle w:val="BodyTextIndent"/>
        <w:numPr>
          <w:ilvl w:val="0"/>
          <w:numId w:val="3"/>
        </w:numPr>
        <w:overflowPunct w:val="0"/>
        <w:autoSpaceDE w:val="0"/>
        <w:spacing w:after="0"/>
        <w:textAlignment w:val="baseline"/>
        <w:rPr>
          <w:rFonts w:ascii="Arial" w:hAnsi="Arial" w:cs="Arial"/>
          <w:sz w:val="20"/>
        </w:rPr>
      </w:pPr>
      <w:r>
        <w:rPr>
          <w:rFonts w:ascii="Arial" w:hAnsi="Arial" w:cs="Arial"/>
          <w:sz w:val="20"/>
        </w:rPr>
        <w:t>Sex</w:t>
      </w:r>
    </w:p>
    <w:p w14:paraId="06CF7A16" w14:textId="77777777" w:rsidR="001D05BD" w:rsidRDefault="001D05BD">
      <w:pPr>
        <w:pStyle w:val="BodyTextIndent"/>
        <w:numPr>
          <w:ilvl w:val="0"/>
          <w:numId w:val="3"/>
        </w:numPr>
        <w:overflowPunct w:val="0"/>
        <w:autoSpaceDE w:val="0"/>
        <w:spacing w:after="0"/>
        <w:textAlignment w:val="baseline"/>
        <w:rPr>
          <w:rFonts w:ascii="Arial" w:hAnsi="Arial" w:cs="Arial"/>
          <w:sz w:val="20"/>
        </w:rPr>
      </w:pPr>
      <w:r>
        <w:rPr>
          <w:rFonts w:ascii="Arial" w:hAnsi="Arial" w:cs="Arial"/>
          <w:sz w:val="20"/>
        </w:rPr>
        <w:t>Religion or cultural beliefs</w:t>
      </w:r>
    </w:p>
    <w:p w14:paraId="608B59DC" w14:textId="77777777" w:rsidR="001D05BD" w:rsidRDefault="001D05BD">
      <w:pPr>
        <w:pStyle w:val="BodyTextIndent"/>
        <w:numPr>
          <w:ilvl w:val="0"/>
          <w:numId w:val="3"/>
        </w:numPr>
        <w:overflowPunct w:val="0"/>
        <w:autoSpaceDE w:val="0"/>
        <w:spacing w:after="0"/>
        <w:textAlignment w:val="baseline"/>
        <w:rPr>
          <w:rFonts w:ascii="Arial" w:hAnsi="Arial" w:cs="Arial"/>
          <w:sz w:val="20"/>
        </w:rPr>
      </w:pPr>
      <w:r>
        <w:rPr>
          <w:rFonts w:ascii="Arial" w:hAnsi="Arial" w:cs="Arial"/>
          <w:sz w:val="20"/>
        </w:rPr>
        <w:t>Gender reassignment</w:t>
      </w:r>
    </w:p>
    <w:p w14:paraId="5D032BC8" w14:textId="77777777" w:rsidR="001D05BD" w:rsidRDefault="001D05BD">
      <w:pPr>
        <w:pStyle w:val="BodyTextIndent"/>
        <w:numPr>
          <w:ilvl w:val="0"/>
          <w:numId w:val="3"/>
        </w:numPr>
        <w:overflowPunct w:val="0"/>
        <w:autoSpaceDE w:val="0"/>
        <w:spacing w:after="0"/>
        <w:textAlignment w:val="baseline"/>
        <w:rPr>
          <w:rFonts w:ascii="Arial" w:hAnsi="Arial" w:cs="Arial"/>
          <w:sz w:val="20"/>
        </w:rPr>
      </w:pPr>
      <w:r>
        <w:rPr>
          <w:rFonts w:ascii="Arial" w:hAnsi="Arial" w:cs="Arial"/>
          <w:sz w:val="20"/>
        </w:rPr>
        <w:t>Marital status and civil partnership</w:t>
      </w:r>
    </w:p>
    <w:p w14:paraId="5DB36FD8" w14:textId="77777777" w:rsidR="001D05BD" w:rsidRDefault="001D05BD">
      <w:pPr>
        <w:pStyle w:val="BodyTextIndent"/>
        <w:numPr>
          <w:ilvl w:val="0"/>
          <w:numId w:val="3"/>
        </w:numPr>
        <w:overflowPunct w:val="0"/>
        <w:autoSpaceDE w:val="0"/>
        <w:spacing w:after="0"/>
        <w:textAlignment w:val="baseline"/>
        <w:rPr>
          <w:rFonts w:ascii="Arial" w:hAnsi="Arial" w:cs="Arial"/>
          <w:sz w:val="20"/>
        </w:rPr>
      </w:pPr>
      <w:r>
        <w:rPr>
          <w:rFonts w:ascii="Arial" w:hAnsi="Arial" w:cs="Arial"/>
          <w:sz w:val="20"/>
        </w:rPr>
        <w:t>Sexual orientation</w:t>
      </w:r>
    </w:p>
    <w:p w14:paraId="47D6A9A7" w14:textId="77777777" w:rsidR="001D05BD" w:rsidRDefault="001D05BD">
      <w:pPr>
        <w:pStyle w:val="BodyTextIndent"/>
        <w:numPr>
          <w:ilvl w:val="0"/>
          <w:numId w:val="3"/>
        </w:numPr>
        <w:overflowPunct w:val="0"/>
        <w:autoSpaceDE w:val="0"/>
        <w:spacing w:after="0"/>
        <w:textAlignment w:val="baseline"/>
        <w:rPr>
          <w:rFonts w:ascii="Arial" w:hAnsi="Arial" w:cs="Arial"/>
          <w:sz w:val="20"/>
        </w:rPr>
      </w:pPr>
      <w:r>
        <w:rPr>
          <w:rFonts w:ascii="Arial" w:hAnsi="Arial" w:cs="Arial"/>
          <w:sz w:val="20"/>
        </w:rPr>
        <w:t>Pregnancy and maternity</w:t>
      </w:r>
    </w:p>
    <w:p w14:paraId="113752FF" w14:textId="77777777" w:rsidR="001D05BD" w:rsidRDefault="001D05BD">
      <w:pPr>
        <w:jc w:val="left"/>
        <w:rPr>
          <w:rFonts w:ascii="Arial" w:hAnsi="Arial" w:cs="Arial"/>
          <w:color w:val="000000"/>
          <w:sz w:val="20"/>
          <w:u w:val="single"/>
        </w:rPr>
      </w:pPr>
    </w:p>
    <w:p w14:paraId="1277C69F" w14:textId="77777777" w:rsidR="001D05BD" w:rsidRDefault="001D05BD">
      <w:pPr>
        <w:jc w:val="left"/>
        <w:rPr>
          <w:rFonts w:ascii="Arial" w:hAnsi="Arial" w:cs="Arial"/>
          <w:color w:val="000000"/>
          <w:sz w:val="20"/>
        </w:rPr>
      </w:pPr>
      <w:r>
        <w:rPr>
          <w:rFonts w:ascii="Arial" w:hAnsi="Arial" w:cs="Arial"/>
          <w:color w:val="000000"/>
          <w:sz w:val="20"/>
        </w:rPr>
        <w:t>The policy applies across the range of employment policies and practice, including those relating to Discipline, Grievance, Harassment and Complaints.</w:t>
      </w:r>
    </w:p>
    <w:p w14:paraId="180B8E44" w14:textId="77777777" w:rsidR="001D05BD" w:rsidRDefault="001D05BD">
      <w:pPr>
        <w:jc w:val="left"/>
        <w:rPr>
          <w:rFonts w:ascii="Arial" w:hAnsi="Arial" w:cs="Arial"/>
          <w:color w:val="000000"/>
          <w:sz w:val="20"/>
        </w:rPr>
      </w:pPr>
    </w:p>
    <w:p w14:paraId="0E5D8BA4" w14:textId="77777777" w:rsidR="001D05BD" w:rsidRDefault="001D05BD">
      <w:pPr>
        <w:jc w:val="left"/>
        <w:rPr>
          <w:rFonts w:ascii="Arial" w:hAnsi="Arial" w:cs="Arial"/>
          <w:color w:val="000000"/>
          <w:sz w:val="20"/>
          <w:u w:val="single"/>
        </w:rPr>
      </w:pPr>
      <w:r>
        <w:rPr>
          <w:rFonts w:ascii="Arial" w:hAnsi="Arial" w:cs="Arial"/>
          <w:color w:val="000000"/>
          <w:sz w:val="20"/>
          <w:u w:val="single"/>
        </w:rPr>
        <w:t>Responsibilities</w:t>
      </w:r>
    </w:p>
    <w:p w14:paraId="35C2CA40" w14:textId="77777777" w:rsidR="001D05BD" w:rsidRDefault="001D05BD">
      <w:pPr>
        <w:jc w:val="left"/>
        <w:rPr>
          <w:rFonts w:ascii="Arial" w:hAnsi="Arial" w:cs="Arial"/>
          <w:color w:val="000000"/>
          <w:sz w:val="20"/>
        </w:rPr>
      </w:pPr>
    </w:p>
    <w:p w14:paraId="0CD5D185" w14:textId="6BC33A3B" w:rsidR="001D05BD" w:rsidRDefault="00513E0F">
      <w:pPr>
        <w:jc w:val="left"/>
        <w:rPr>
          <w:rFonts w:ascii="Arial" w:hAnsi="Arial" w:cs="Arial"/>
          <w:color w:val="000000"/>
          <w:sz w:val="20"/>
        </w:rPr>
      </w:pPr>
      <w:r>
        <w:rPr>
          <w:rFonts w:ascii="Arial" w:hAnsi="Arial" w:cs="Arial"/>
          <w:color w:val="000000"/>
          <w:sz w:val="20"/>
        </w:rPr>
        <w:t xml:space="preserve">LTB </w:t>
      </w:r>
      <w:r w:rsidR="00EB2FDF">
        <w:rPr>
          <w:rFonts w:ascii="Arial" w:hAnsi="Arial" w:cs="Arial"/>
          <w:color w:val="000000"/>
          <w:sz w:val="20"/>
        </w:rPr>
        <w:t>values its staff</w:t>
      </w:r>
      <w:r w:rsidR="001D05BD">
        <w:rPr>
          <w:rFonts w:ascii="Arial" w:hAnsi="Arial" w:cs="Arial"/>
          <w:color w:val="000000"/>
          <w:sz w:val="20"/>
        </w:rPr>
        <w:t xml:space="preserve">, </w:t>
      </w:r>
      <w:r w:rsidR="00EB2FDF">
        <w:rPr>
          <w:rFonts w:ascii="Arial" w:hAnsi="Arial" w:cs="Arial"/>
          <w:color w:val="000000"/>
          <w:sz w:val="20"/>
        </w:rPr>
        <w:t xml:space="preserve">members, </w:t>
      </w:r>
      <w:r w:rsidR="001D05BD">
        <w:rPr>
          <w:rFonts w:ascii="Arial" w:hAnsi="Arial" w:cs="Arial"/>
          <w:color w:val="000000"/>
          <w:sz w:val="20"/>
        </w:rPr>
        <w:t xml:space="preserve">Trustees and customers, and expects them to be treated in a respectful manner.  Accordingly, all have a responsibility to treat others with dignity and respect.  The Human Resources Manager is responsible for providing advice and guidance on equality and diversity issues, and to ensure the Policy document is kept up to date.  </w:t>
      </w:r>
    </w:p>
    <w:p w14:paraId="01D38DBF" w14:textId="77777777" w:rsidR="001D05BD" w:rsidRDefault="001D05BD">
      <w:pPr>
        <w:jc w:val="left"/>
        <w:rPr>
          <w:rFonts w:ascii="Arial" w:hAnsi="Arial" w:cs="Arial"/>
          <w:color w:val="000000"/>
          <w:sz w:val="20"/>
          <w:u w:val="single"/>
        </w:rPr>
      </w:pPr>
    </w:p>
    <w:p w14:paraId="2BF1953B" w14:textId="77777777" w:rsidR="001D05BD" w:rsidRDefault="001D05BD">
      <w:pPr>
        <w:jc w:val="left"/>
        <w:rPr>
          <w:rFonts w:ascii="Arial" w:hAnsi="Arial" w:cs="Arial"/>
          <w:color w:val="000000"/>
          <w:sz w:val="20"/>
          <w:u w:val="single"/>
        </w:rPr>
      </w:pPr>
      <w:r>
        <w:rPr>
          <w:rFonts w:ascii="Arial" w:hAnsi="Arial" w:cs="Arial"/>
          <w:color w:val="000000"/>
          <w:sz w:val="20"/>
          <w:u w:val="single"/>
        </w:rPr>
        <w:t>Aims</w:t>
      </w:r>
    </w:p>
    <w:p w14:paraId="6DF6BECB" w14:textId="77777777" w:rsidR="001D05BD" w:rsidRDefault="001D05BD">
      <w:pPr>
        <w:jc w:val="left"/>
        <w:rPr>
          <w:rFonts w:ascii="Arial" w:hAnsi="Arial" w:cs="Arial"/>
          <w:color w:val="000000"/>
          <w:sz w:val="20"/>
        </w:rPr>
      </w:pPr>
    </w:p>
    <w:p w14:paraId="2E0251BB" w14:textId="2D6C53B6" w:rsidR="001D05BD" w:rsidRDefault="00C97720">
      <w:pPr>
        <w:jc w:val="left"/>
        <w:rPr>
          <w:rFonts w:ascii="Arial" w:hAnsi="Arial" w:cs="Arial"/>
          <w:color w:val="000000"/>
          <w:sz w:val="20"/>
        </w:rPr>
      </w:pPr>
      <w:r>
        <w:rPr>
          <w:rFonts w:ascii="Arial" w:hAnsi="Arial" w:cs="Arial"/>
          <w:color w:val="000000"/>
          <w:sz w:val="20"/>
        </w:rPr>
        <w:t>T</w:t>
      </w:r>
      <w:r w:rsidR="007E6DDC">
        <w:rPr>
          <w:rFonts w:ascii="Arial" w:hAnsi="Arial" w:cs="Arial"/>
          <w:color w:val="000000"/>
          <w:sz w:val="20"/>
        </w:rPr>
        <w:t>wo</w:t>
      </w:r>
      <w:r w:rsidR="001D05BD">
        <w:rPr>
          <w:rFonts w:ascii="Arial" w:hAnsi="Arial" w:cs="Arial"/>
          <w:color w:val="000000"/>
          <w:sz w:val="20"/>
        </w:rPr>
        <w:t xml:space="preserve"> core </w:t>
      </w:r>
      <w:r w:rsidR="007E6DDC">
        <w:rPr>
          <w:rFonts w:ascii="Arial" w:hAnsi="Arial" w:cs="Arial"/>
          <w:color w:val="000000"/>
          <w:sz w:val="20"/>
        </w:rPr>
        <w:t>values are</w:t>
      </w:r>
      <w:r w:rsidR="001D05BD">
        <w:rPr>
          <w:rFonts w:ascii="Arial" w:hAnsi="Arial" w:cs="Arial"/>
          <w:color w:val="000000"/>
          <w:sz w:val="20"/>
        </w:rPr>
        <w:t xml:space="preserve"> “</w:t>
      </w:r>
      <w:r w:rsidR="007E6DDC">
        <w:rPr>
          <w:rFonts w:ascii="Arial" w:hAnsi="Arial" w:cs="Arial"/>
          <w:color w:val="000000"/>
          <w:sz w:val="20"/>
        </w:rPr>
        <w:t>Reciprocity and Respect</w:t>
      </w:r>
      <w:r w:rsidR="001D05BD">
        <w:rPr>
          <w:rFonts w:ascii="Arial" w:hAnsi="Arial" w:cs="Arial"/>
          <w:color w:val="000000"/>
          <w:sz w:val="20"/>
        </w:rPr>
        <w:t xml:space="preserve">”, </w:t>
      </w:r>
      <w:r w:rsidR="00513E0F">
        <w:rPr>
          <w:rFonts w:ascii="Arial" w:hAnsi="Arial" w:cs="Arial"/>
          <w:color w:val="000000"/>
          <w:sz w:val="20"/>
        </w:rPr>
        <w:t>LTB</w:t>
      </w:r>
      <w:r w:rsidR="00B73BC1">
        <w:rPr>
          <w:rFonts w:ascii="Arial" w:hAnsi="Arial" w:cs="Arial"/>
          <w:color w:val="000000"/>
          <w:sz w:val="20"/>
        </w:rPr>
        <w:t xml:space="preserve"> </w:t>
      </w:r>
      <w:r w:rsidR="001D05BD">
        <w:rPr>
          <w:rFonts w:ascii="Arial" w:hAnsi="Arial" w:cs="Arial"/>
          <w:color w:val="000000"/>
          <w:sz w:val="20"/>
        </w:rPr>
        <w:t>aims to:</w:t>
      </w:r>
    </w:p>
    <w:p w14:paraId="2A0640A3" w14:textId="77777777" w:rsidR="001D05BD" w:rsidRDefault="001D05BD">
      <w:pPr>
        <w:jc w:val="left"/>
        <w:rPr>
          <w:rFonts w:ascii="Arial" w:hAnsi="Arial" w:cs="Arial"/>
          <w:color w:val="000000"/>
          <w:sz w:val="20"/>
        </w:rPr>
      </w:pPr>
    </w:p>
    <w:p w14:paraId="4CEA6E8D" w14:textId="77777777" w:rsidR="001D05BD" w:rsidRDefault="001D05BD">
      <w:pPr>
        <w:numPr>
          <w:ilvl w:val="0"/>
          <w:numId w:val="4"/>
        </w:numPr>
        <w:jc w:val="left"/>
        <w:rPr>
          <w:rFonts w:ascii="Arial" w:hAnsi="Arial" w:cs="Arial"/>
          <w:color w:val="000000"/>
          <w:sz w:val="20"/>
        </w:rPr>
      </w:pPr>
      <w:r>
        <w:rPr>
          <w:rFonts w:ascii="Arial" w:hAnsi="Arial" w:cs="Arial"/>
          <w:color w:val="000000"/>
          <w:sz w:val="20"/>
        </w:rPr>
        <w:t>Promote equality of opportunity</w:t>
      </w:r>
    </w:p>
    <w:p w14:paraId="58A0000C" w14:textId="77777777" w:rsidR="001D05BD" w:rsidRDefault="001D05BD">
      <w:pPr>
        <w:numPr>
          <w:ilvl w:val="0"/>
          <w:numId w:val="4"/>
        </w:numPr>
        <w:jc w:val="left"/>
        <w:rPr>
          <w:rFonts w:ascii="Arial" w:hAnsi="Arial" w:cs="Arial"/>
          <w:color w:val="000000"/>
          <w:sz w:val="20"/>
        </w:rPr>
      </w:pPr>
      <w:r>
        <w:rPr>
          <w:rFonts w:ascii="Arial" w:hAnsi="Arial" w:cs="Arial"/>
          <w:color w:val="000000"/>
          <w:sz w:val="20"/>
        </w:rPr>
        <w:t xml:space="preserve">Celebrate and value </w:t>
      </w:r>
      <w:proofErr w:type="gramStart"/>
      <w:r>
        <w:rPr>
          <w:rFonts w:ascii="Arial" w:hAnsi="Arial" w:cs="Arial"/>
          <w:color w:val="000000"/>
          <w:sz w:val="20"/>
        </w:rPr>
        <w:t>diversity</w:t>
      </w:r>
      <w:proofErr w:type="gramEnd"/>
    </w:p>
    <w:p w14:paraId="0D2EAA9F" w14:textId="77777777" w:rsidR="001D05BD" w:rsidRDefault="001D05BD">
      <w:pPr>
        <w:numPr>
          <w:ilvl w:val="0"/>
          <w:numId w:val="4"/>
        </w:numPr>
        <w:jc w:val="left"/>
        <w:rPr>
          <w:rFonts w:ascii="Arial" w:hAnsi="Arial" w:cs="Arial"/>
          <w:color w:val="000000"/>
          <w:sz w:val="20"/>
        </w:rPr>
      </w:pPr>
      <w:r>
        <w:rPr>
          <w:rFonts w:ascii="Arial" w:hAnsi="Arial" w:cs="Arial"/>
          <w:color w:val="000000"/>
          <w:sz w:val="20"/>
        </w:rPr>
        <w:t xml:space="preserve">Eliminate unlawful direct and indirect </w:t>
      </w:r>
      <w:proofErr w:type="gramStart"/>
      <w:r>
        <w:rPr>
          <w:rFonts w:ascii="Arial" w:hAnsi="Arial" w:cs="Arial"/>
          <w:color w:val="000000"/>
          <w:sz w:val="20"/>
        </w:rPr>
        <w:t>discrimination</w:t>
      </w:r>
      <w:proofErr w:type="gramEnd"/>
    </w:p>
    <w:p w14:paraId="52545C91" w14:textId="77777777" w:rsidR="001D05BD" w:rsidRDefault="001D05BD">
      <w:pPr>
        <w:jc w:val="left"/>
        <w:rPr>
          <w:rFonts w:ascii="Arial" w:hAnsi="Arial" w:cs="Arial"/>
          <w:color w:val="000000"/>
          <w:sz w:val="20"/>
        </w:rPr>
      </w:pPr>
    </w:p>
    <w:p w14:paraId="09701978" w14:textId="2FD43E6A" w:rsidR="001D05BD" w:rsidRDefault="00513E0F">
      <w:pPr>
        <w:jc w:val="left"/>
        <w:rPr>
          <w:rFonts w:ascii="Arial" w:hAnsi="Arial" w:cs="Arial"/>
          <w:color w:val="000000"/>
          <w:sz w:val="20"/>
        </w:rPr>
      </w:pPr>
      <w:r>
        <w:rPr>
          <w:rFonts w:ascii="Arial" w:hAnsi="Arial" w:cs="Arial"/>
          <w:color w:val="000000"/>
          <w:sz w:val="20"/>
        </w:rPr>
        <w:t>LTB</w:t>
      </w:r>
      <w:r w:rsidR="00B73BC1">
        <w:rPr>
          <w:rFonts w:ascii="Arial" w:hAnsi="Arial" w:cs="Arial"/>
          <w:color w:val="000000"/>
          <w:sz w:val="20"/>
        </w:rPr>
        <w:t xml:space="preserve"> </w:t>
      </w:r>
      <w:r w:rsidR="001D05BD">
        <w:rPr>
          <w:rFonts w:ascii="Arial" w:hAnsi="Arial" w:cs="Arial"/>
          <w:color w:val="000000"/>
          <w:sz w:val="20"/>
        </w:rPr>
        <w:t xml:space="preserve">will provide equality of opportunity and equal treatment as an integral part of good practice.  The organisation is committed to a working environment in which the contribution and needs of everyone are fully valued and recognised.  We will support our staff, </w:t>
      </w:r>
      <w:r w:rsidR="007E6DDC">
        <w:rPr>
          <w:rFonts w:ascii="Arial" w:hAnsi="Arial" w:cs="Arial"/>
          <w:color w:val="000000"/>
          <w:sz w:val="20"/>
        </w:rPr>
        <w:t>members</w:t>
      </w:r>
      <w:r w:rsidR="001D05BD">
        <w:rPr>
          <w:rFonts w:ascii="Arial" w:hAnsi="Arial" w:cs="Arial"/>
          <w:color w:val="000000"/>
          <w:sz w:val="20"/>
        </w:rPr>
        <w:t>, Trustees and contractors in not tolerating any inappropriate, violent or abusive behaviour from colleagues, other organisations or customers.</w:t>
      </w:r>
    </w:p>
    <w:p w14:paraId="2C8DCE90" w14:textId="77777777" w:rsidR="001D05BD" w:rsidRDefault="001D05BD">
      <w:pPr>
        <w:pStyle w:val="BodyTextIndent"/>
        <w:ind w:left="0"/>
        <w:rPr>
          <w:rFonts w:ascii="Arial" w:hAnsi="Arial" w:cs="Arial"/>
          <w:sz w:val="20"/>
          <w:u w:val="single"/>
        </w:rPr>
      </w:pPr>
    </w:p>
    <w:p w14:paraId="573A261B" w14:textId="77777777" w:rsidR="001D05BD" w:rsidRDefault="001D05BD">
      <w:pPr>
        <w:pStyle w:val="BodyTextIndent"/>
        <w:ind w:left="0"/>
        <w:rPr>
          <w:rFonts w:ascii="Arial" w:hAnsi="Arial" w:cs="Arial"/>
          <w:sz w:val="20"/>
          <w:u w:val="single"/>
        </w:rPr>
      </w:pPr>
      <w:r>
        <w:rPr>
          <w:rFonts w:ascii="Arial" w:hAnsi="Arial" w:cs="Arial"/>
          <w:sz w:val="20"/>
          <w:u w:val="single"/>
        </w:rPr>
        <w:t>General purpose</w:t>
      </w:r>
    </w:p>
    <w:p w14:paraId="6CD4B1B2" w14:textId="72B1C785" w:rsidR="001D05BD" w:rsidRDefault="00B73BC1">
      <w:pPr>
        <w:pStyle w:val="BodyTextIndent"/>
        <w:ind w:left="0"/>
        <w:jc w:val="left"/>
        <w:rPr>
          <w:rFonts w:ascii="Arial" w:hAnsi="Arial" w:cs="Arial"/>
          <w:i/>
          <w:sz w:val="20"/>
        </w:rPr>
      </w:pPr>
      <w:r>
        <w:rPr>
          <w:rFonts w:ascii="Arial" w:hAnsi="Arial" w:cs="Arial"/>
          <w:sz w:val="20"/>
        </w:rPr>
        <w:t>LTB</w:t>
      </w:r>
      <w:r w:rsidR="00C97720">
        <w:rPr>
          <w:rFonts w:ascii="Arial" w:hAnsi="Arial" w:cs="Arial"/>
          <w:sz w:val="20"/>
        </w:rPr>
        <w:t>’s</w:t>
      </w:r>
      <w:r w:rsidR="001D05BD">
        <w:rPr>
          <w:rFonts w:ascii="Arial" w:hAnsi="Arial" w:cs="Arial"/>
          <w:sz w:val="20"/>
        </w:rPr>
        <w:t xml:space="preserve"> practices will ensure that staff, </w:t>
      </w:r>
      <w:r w:rsidR="007E6DDC">
        <w:rPr>
          <w:rFonts w:ascii="Arial" w:hAnsi="Arial" w:cs="Arial"/>
          <w:sz w:val="20"/>
        </w:rPr>
        <w:t>members</w:t>
      </w:r>
      <w:r w:rsidR="001D05BD">
        <w:rPr>
          <w:rFonts w:ascii="Arial" w:hAnsi="Arial" w:cs="Arial"/>
          <w:sz w:val="20"/>
        </w:rPr>
        <w:t xml:space="preserve">, Trustees, and customers will not be discriminated against on any grounds including age, disability, race, sex, religion or cultural beliefs, gender reassignment, marital status and civil partnership, sexual orientation, pregnancy and maternity. </w:t>
      </w:r>
      <w:r w:rsidR="001D05BD">
        <w:rPr>
          <w:rFonts w:ascii="Arial" w:hAnsi="Arial" w:cs="Arial"/>
          <w:i/>
          <w:sz w:val="20"/>
        </w:rPr>
        <w:t xml:space="preserve"> </w:t>
      </w:r>
    </w:p>
    <w:p w14:paraId="36B1FC57" w14:textId="2824B66D" w:rsidR="001D05BD" w:rsidRDefault="00A70E8D">
      <w:pPr>
        <w:pStyle w:val="BodyTextIndent"/>
        <w:ind w:left="0"/>
        <w:jc w:val="left"/>
        <w:rPr>
          <w:rFonts w:ascii="Arial" w:hAnsi="Arial" w:cs="Arial"/>
          <w:sz w:val="20"/>
        </w:rPr>
      </w:pPr>
      <w:r>
        <w:rPr>
          <w:rFonts w:ascii="Arial" w:hAnsi="Arial" w:cs="Arial"/>
          <w:sz w:val="20"/>
        </w:rPr>
        <w:t>LTB</w:t>
      </w:r>
      <w:r w:rsidR="00C97720">
        <w:rPr>
          <w:rFonts w:ascii="Arial" w:hAnsi="Arial" w:cs="Arial"/>
          <w:sz w:val="20"/>
        </w:rPr>
        <w:t>’s</w:t>
      </w:r>
      <w:r w:rsidR="001D05BD">
        <w:rPr>
          <w:rFonts w:ascii="Arial" w:hAnsi="Arial" w:cs="Arial"/>
          <w:sz w:val="20"/>
        </w:rPr>
        <w:t xml:space="preserve"> commitment to anti-discriminatory practice relates to all kinds of discrimination, as set out below:</w:t>
      </w:r>
    </w:p>
    <w:p w14:paraId="652A670D" w14:textId="77777777" w:rsidR="001D05BD" w:rsidRDefault="001D05BD">
      <w:pPr>
        <w:pStyle w:val="BodyTextIndent"/>
        <w:numPr>
          <w:ilvl w:val="0"/>
          <w:numId w:val="2"/>
        </w:numPr>
        <w:overflowPunct w:val="0"/>
        <w:autoSpaceDE w:val="0"/>
        <w:spacing w:after="0"/>
        <w:textAlignment w:val="baseline"/>
        <w:rPr>
          <w:rFonts w:ascii="Arial" w:hAnsi="Arial" w:cs="Arial"/>
          <w:sz w:val="20"/>
        </w:rPr>
      </w:pPr>
      <w:r>
        <w:rPr>
          <w:rFonts w:ascii="Arial" w:hAnsi="Arial" w:cs="Arial"/>
          <w:sz w:val="20"/>
        </w:rPr>
        <w:t xml:space="preserve">Direct discrimination - where someone is treated less favourably than another because they have a protected </w:t>
      </w:r>
      <w:proofErr w:type="gramStart"/>
      <w:r>
        <w:rPr>
          <w:rFonts w:ascii="Arial" w:hAnsi="Arial" w:cs="Arial"/>
          <w:sz w:val="20"/>
        </w:rPr>
        <w:t>characteristic</w:t>
      </w:r>
      <w:proofErr w:type="gramEnd"/>
    </w:p>
    <w:p w14:paraId="26C04892" w14:textId="77777777" w:rsidR="001D05BD" w:rsidRDefault="001D05BD">
      <w:pPr>
        <w:pStyle w:val="BodyTextIndent"/>
        <w:numPr>
          <w:ilvl w:val="0"/>
          <w:numId w:val="2"/>
        </w:numPr>
        <w:overflowPunct w:val="0"/>
        <w:autoSpaceDE w:val="0"/>
        <w:spacing w:after="0"/>
        <w:textAlignment w:val="baseline"/>
        <w:rPr>
          <w:rFonts w:ascii="Arial" w:hAnsi="Arial" w:cs="Arial"/>
          <w:sz w:val="20"/>
        </w:rPr>
      </w:pPr>
      <w:r>
        <w:rPr>
          <w:rFonts w:ascii="Arial" w:hAnsi="Arial" w:cs="Arial"/>
          <w:sz w:val="20"/>
        </w:rPr>
        <w:lastRenderedPageBreak/>
        <w:t xml:space="preserve">Indirect discrimination – when a requirement or a condition is applied which has a detrimental effect on a particular group or individual. This applies even if there was not a deliberate intention to discriminate. </w:t>
      </w:r>
    </w:p>
    <w:p w14:paraId="39ACE3A1" w14:textId="77777777" w:rsidR="001D05BD" w:rsidRDefault="001D05BD">
      <w:pPr>
        <w:pStyle w:val="BodyTextIndent"/>
        <w:numPr>
          <w:ilvl w:val="0"/>
          <w:numId w:val="2"/>
        </w:numPr>
        <w:overflowPunct w:val="0"/>
        <w:autoSpaceDE w:val="0"/>
        <w:spacing w:after="0"/>
        <w:textAlignment w:val="baseline"/>
        <w:rPr>
          <w:rFonts w:ascii="Arial" w:hAnsi="Arial" w:cs="Arial"/>
          <w:sz w:val="20"/>
        </w:rPr>
      </w:pPr>
      <w:r>
        <w:rPr>
          <w:rFonts w:ascii="Arial" w:hAnsi="Arial" w:cs="Arial"/>
          <w:sz w:val="20"/>
        </w:rPr>
        <w:t>Associative discrimination – direct discrimination against someone because they associate with another person who has a protected characteristic.</w:t>
      </w:r>
    </w:p>
    <w:p w14:paraId="38A5621E" w14:textId="77777777" w:rsidR="001D05BD" w:rsidRDefault="001D05BD">
      <w:pPr>
        <w:pStyle w:val="BodyTextIndent"/>
        <w:numPr>
          <w:ilvl w:val="0"/>
          <w:numId w:val="2"/>
        </w:numPr>
        <w:overflowPunct w:val="0"/>
        <w:autoSpaceDE w:val="0"/>
        <w:spacing w:after="0"/>
        <w:textAlignment w:val="baseline"/>
        <w:rPr>
          <w:rFonts w:ascii="Arial" w:hAnsi="Arial" w:cs="Arial"/>
          <w:sz w:val="20"/>
        </w:rPr>
      </w:pPr>
      <w:r>
        <w:rPr>
          <w:rFonts w:ascii="Arial" w:hAnsi="Arial" w:cs="Arial"/>
          <w:sz w:val="20"/>
        </w:rPr>
        <w:t>Perceptive discrimination - direct discrimination against someone because others think they have a protected characteristic even if they do not possess that characteristic.</w:t>
      </w:r>
    </w:p>
    <w:p w14:paraId="3BB1EF71" w14:textId="77777777" w:rsidR="001D05BD" w:rsidRDefault="001D05BD">
      <w:pPr>
        <w:pStyle w:val="BodyTextIndent"/>
        <w:numPr>
          <w:ilvl w:val="0"/>
          <w:numId w:val="2"/>
        </w:numPr>
        <w:overflowPunct w:val="0"/>
        <w:autoSpaceDE w:val="0"/>
        <w:spacing w:after="0"/>
        <w:textAlignment w:val="baseline"/>
        <w:rPr>
          <w:rFonts w:ascii="Arial" w:hAnsi="Arial" w:cs="Arial"/>
          <w:sz w:val="20"/>
        </w:rPr>
      </w:pPr>
      <w:r>
        <w:rPr>
          <w:rFonts w:ascii="Arial" w:hAnsi="Arial" w:cs="Arial"/>
          <w:sz w:val="20"/>
        </w:rPr>
        <w:t>Harassment – unwanted conduct related to a protected characteristic which violates a person’s dignity or creates an intimidating, hostile, degrading, humiliating or offensive environment for them. This applies even if the conduct is not directed at the individual or if they do not have the protected characteristic.</w:t>
      </w:r>
    </w:p>
    <w:p w14:paraId="343B9406" w14:textId="77777777" w:rsidR="001D05BD" w:rsidRDefault="001D05BD">
      <w:pPr>
        <w:pStyle w:val="BodyTextIndent"/>
        <w:numPr>
          <w:ilvl w:val="0"/>
          <w:numId w:val="2"/>
        </w:numPr>
        <w:overflowPunct w:val="0"/>
        <w:autoSpaceDE w:val="0"/>
        <w:spacing w:after="0"/>
        <w:textAlignment w:val="baseline"/>
        <w:rPr>
          <w:rFonts w:ascii="Arial" w:hAnsi="Arial" w:cs="Arial"/>
          <w:sz w:val="20"/>
        </w:rPr>
      </w:pPr>
      <w:r>
        <w:rPr>
          <w:rFonts w:ascii="Arial" w:hAnsi="Arial" w:cs="Arial"/>
          <w:sz w:val="20"/>
        </w:rPr>
        <w:t>Third party harassment – potential liability for the harassment of staff by others such as clients or customers.</w:t>
      </w:r>
    </w:p>
    <w:p w14:paraId="6CAA7914" w14:textId="77777777" w:rsidR="001D05BD" w:rsidRDefault="001D05BD">
      <w:pPr>
        <w:pStyle w:val="BodyTextIndent"/>
        <w:numPr>
          <w:ilvl w:val="0"/>
          <w:numId w:val="2"/>
        </w:numPr>
        <w:overflowPunct w:val="0"/>
        <w:autoSpaceDE w:val="0"/>
        <w:spacing w:after="0"/>
        <w:textAlignment w:val="baseline"/>
        <w:rPr>
          <w:rFonts w:ascii="Arial" w:hAnsi="Arial" w:cs="Arial"/>
          <w:sz w:val="20"/>
        </w:rPr>
      </w:pPr>
      <w:r>
        <w:rPr>
          <w:rFonts w:ascii="Arial" w:hAnsi="Arial" w:cs="Arial"/>
          <w:sz w:val="20"/>
        </w:rPr>
        <w:t>Victimisation – when someone is treated badly because they have made or supported a complaint under the Equalities Act or it is thought that they have done so.</w:t>
      </w:r>
    </w:p>
    <w:p w14:paraId="62F3D85E" w14:textId="77777777" w:rsidR="001D05BD" w:rsidRDefault="001D05BD">
      <w:pPr>
        <w:jc w:val="left"/>
        <w:rPr>
          <w:rFonts w:ascii="Arial" w:hAnsi="Arial" w:cs="Arial"/>
          <w:color w:val="000000"/>
          <w:sz w:val="20"/>
        </w:rPr>
      </w:pPr>
    </w:p>
    <w:p w14:paraId="3FC081C3" w14:textId="77777777" w:rsidR="001D05BD" w:rsidRDefault="001D05BD">
      <w:pPr>
        <w:jc w:val="left"/>
        <w:rPr>
          <w:rFonts w:ascii="Arial" w:hAnsi="Arial" w:cs="Arial"/>
          <w:color w:val="000000"/>
          <w:sz w:val="20"/>
          <w:u w:val="single"/>
        </w:rPr>
      </w:pPr>
      <w:r>
        <w:rPr>
          <w:rFonts w:ascii="Arial" w:hAnsi="Arial" w:cs="Arial"/>
          <w:color w:val="000000"/>
          <w:sz w:val="20"/>
          <w:u w:val="single"/>
        </w:rPr>
        <w:t>Employment Practices</w:t>
      </w:r>
    </w:p>
    <w:p w14:paraId="573EFA18" w14:textId="77777777" w:rsidR="001D05BD" w:rsidRDefault="001D05BD">
      <w:pPr>
        <w:jc w:val="left"/>
        <w:rPr>
          <w:rFonts w:ascii="Arial" w:hAnsi="Arial" w:cs="Arial"/>
          <w:color w:val="000000"/>
          <w:sz w:val="20"/>
          <w:u w:val="single"/>
        </w:rPr>
      </w:pPr>
    </w:p>
    <w:p w14:paraId="260D45E9" w14:textId="528EFBA7" w:rsidR="001D05BD" w:rsidRDefault="00513E0F">
      <w:pPr>
        <w:jc w:val="left"/>
        <w:rPr>
          <w:rFonts w:ascii="Arial" w:hAnsi="Arial" w:cs="Arial"/>
          <w:color w:val="000000"/>
          <w:sz w:val="20"/>
        </w:rPr>
      </w:pPr>
      <w:r>
        <w:rPr>
          <w:rFonts w:ascii="Arial" w:hAnsi="Arial" w:cs="Arial"/>
          <w:color w:val="000000"/>
          <w:sz w:val="20"/>
        </w:rPr>
        <w:t>LTB</w:t>
      </w:r>
      <w:r w:rsidR="00A70E8D">
        <w:rPr>
          <w:rFonts w:ascii="Arial" w:hAnsi="Arial" w:cs="Arial"/>
          <w:color w:val="000000"/>
          <w:sz w:val="20"/>
        </w:rPr>
        <w:t xml:space="preserve"> </w:t>
      </w:r>
      <w:r w:rsidR="001D05BD">
        <w:rPr>
          <w:rFonts w:ascii="Arial" w:hAnsi="Arial" w:cs="Arial"/>
          <w:color w:val="000000"/>
          <w:sz w:val="20"/>
        </w:rPr>
        <w:t xml:space="preserve">aims to promote equality and diversity as an employer and to ensure that no job applicant or employee receives less favourable treatment or is disadvantaged by conditions or requirements that cannot be shown to be justifiable in the context of the policy.  Selection, recruitment, training, promotion and employment practices will be subject to regular review to ensure that they comply with the Diversity and Equalities Policy.  All training opportunities will be published widely to all appropriate employees and not in such a way so as to exclude particular groups. </w:t>
      </w:r>
      <w:r>
        <w:rPr>
          <w:rFonts w:ascii="Arial" w:hAnsi="Arial" w:cs="Arial"/>
          <w:color w:val="000000"/>
          <w:sz w:val="20"/>
        </w:rPr>
        <w:t>LTB</w:t>
      </w:r>
      <w:r w:rsidR="009A09F4">
        <w:rPr>
          <w:rFonts w:ascii="Arial" w:hAnsi="Arial" w:cs="Arial"/>
          <w:color w:val="000000"/>
          <w:sz w:val="20"/>
        </w:rPr>
        <w:t xml:space="preserve"> </w:t>
      </w:r>
      <w:r w:rsidR="001D05BD">
        <w:rPr>
          <w:rFonts w:ascii="Arial" w:hAnsi="Arial" w:cs="Arial"/>
          <w:color w:val="000000"/>
          <w:sz w:val="20"/>
        </w:rPr>
        <w:t>regards discrimination, abuse, harassment, victimisation or bullying of staff, customers or others in the course of work as disciplinary offences that could be regarded as gross misconduct.</w:t>
      </w:r>
    </w:p>
    <w:p w14:paraId="663FB14B" w14:textId="77777777" w:rsidR="001D05BD" w:rsidRDefault="001D05BD">
      <w:pPr>
        <w:jc w:val="left"/>
        <w:rPr>
          <w:rFonts w:ascii="Arial" w:hAnsi="Arial" w:cs="Arial"/>
          <w:color w:val="000000"/>
          <w:sz w:val="20"/>
        </w:rPr>
      </w:pPr>
    </w:p>
    <w:p w14:paraId="3481662F" w14:textId="31BD608D" w:rsidR="001D05BD" w:rsidRDefault="00513E0F">
      <w:pPr>
        <w:jc w:val="left"/>
        <w:rPr>
          <w:rFonts w:ascii="Arial" w:hAnsi="Arial" w:cs="Arial"/>
          <w:color w:val="000000"/>
          <w:sz w:val="20"/>
          <w:u w:val="single"/>
        </w:rPr>
      </w:pPr>
      <w:r>
        <w:rPr>
          <w:rFonts w:ascii="Arial" w:hAnsi="Arial" w:cs="Arial"/>
          <w:color w:val="000000"/>
          <w:sz w:val="20"/>
          <w:u w:val="single"/>
        </w:rPr>
        <w:t>LTB</w:t>
      </w:r>
      <w:r w:rsidR="00A70E8D">
        <w:rPr>
          <w:rFonts w:ascii="Arial" w:hAnsi="Arial" w:cs="Arial"/>
          <w:color w:val="000000"/>
          <w:sz w:val="20"/>
          <w:u w:val="single"/>
        </w:rPr>
        <w:t xml:space="preserve"> </w:t>
      </w:r>
      <w:r w:rsidR="001D05BD">
        <w:rPr>
          <w:rFonts w:ascii="Arial" w:hAnsi="Arial" w:cs="Arial"/>
          <w:color w:val="000000"/>
          <w:sz w:val="20"/>
          <w:u w:val="single"/>
        </w:rPr>
        <w:t>as Service Provider</w:t>
      </w:r>
    </w:p>
    <w:p w14:paraId="6339EE0B" w14:textId="77777777" w:rsidR="001D05BD" w:rsidRDefault="001D05BD">
      <w:pPr>
        <w:pStyle w:val="Numbers"/>
        <w:tabs>
          <w:tab w:val="left" w:pos="0"/>
        </w:tabs>
        <w:spacing w:after="0"/>
        <w:rPr>
          <w:rFonts w:ascii="Arial" w:hAnsi="Arial" w:cs="Arial"/>
          <w:sz w:val="20"/>
        </w:rPr>
      </w:pPr>
    </w:p>
    <w:p w14:paraId="406DF516" w14:textId="350D1943" w:rsidR="001D05BD" w:rsidRDefault="001D05BD">
      <w:pPr>
        <w:pStyle w:val="Numbers"/>
        <w:tabs>
          <w:tab w:val="left" w:pos="0"/>
        </w:tabs>
        <w:spacing w:after="0"/>
        <w:jc w:val="left"/>
        <w:rPr>
          <w:rFonts w:ascii="Arial" w:hAnsi="Arial" w:cs="Arial"/>
          <w:sz w:val="20"/>
        </w:rPr>
      </w:pPr>
      <w:r>
        <w:rPr>
          <w:rFonts w:ascii="Arial" w:hAnsi="Arial" w:cs="Arial"/>
          <w:sz w:val="20"/>
        </w:rPr>
        <w:t xml:space="preserve">In developing its products (qualifications); support materials (assessment handbooks and teacher materials) or its awarding organisation services (registration, entry, assessment, certification or web interfaces to the services) </w:t>
      </w:r>
      <w:r w:rsidR="00513E0F">
        <w:rPr>
          <w:rFonts w:ascii="Arial" w:hAnsi="Arial" w:cs="Arial"/>
          <w:sz w:val="20"/>
        </w:rPr>
        <w:t>LTB</w:t>
      </w:r>
      <w:r w:rsidR="009A09F4">
        <w:rPr>
          <w:rFonts w:ascii="Arial" w:hAnsi="Arial" w:cs="Arial"/>
          <w:sz w:val="20"/>
        </w:rPr>
        <w:t xml:space="preserve"> </w:t>
      </w:r>
      <w:r>
        <w:rPr>
          <w:rFonts w:ascii="Arial" w:hAnsi="Arial" w:cs="Arial"/>
          <w:sz w:val="20"/>
        </w:rPr>
        <w:t>will seek to ensure access to its customers and their learners.  This will include, wherever practicable, making specific access arrangements for its customers and their learners with disabilities or learning difficulties, or any other protected characteristic which may appl</w:t>
      </w:r>
      <w:r w:rsidR="007E6DDC">
        <w:rPr>
          <w:rFonts w:ascii="Arial" w:hAnsi="Arial" w:cs="Arial"/>
          <w:sz w:val="20"/>
        </w:rPr>
        <w:t>y, such as religion and belief.</w:t>
      </w:r>
      <w:r>
        <w:rPr>
          <w:rFonts w:ascii="Arial" w:hAnsi="Arial" w:cs="Arial"/>
          <w:sz w:val="20"/>
        </w:rPr>
        <w:t xml:space="preserve"> </w:t>
      </w:r>
      <w:r w:rsidR="00513E0F">
        <w:rPr>
          <w:rFonts w:ascii="Arial" w:hAnsi="Arial" w:cs="Arial"/>
          <w:color w:val="000000"/>
          <w:sz w:val="20"/>
        </w:rPr>
        <w:t>LTB</w:t>
      </w:r>
      <w:r w:rsidR="00A70E8D">
        <w:rPr>
          <w:rFonts w:ascii="Arial" w:hAnsi="Arial" w:cs="Arial"/>
          <w:color w:val="000000"/>
          <w:sz w:val="20"/>
        </w:rPr>
        <w:t xml:space="preserve"> </w:t>
      </w:r>
      <w:r>
        <w:rPr>
          <w:rFonts w:ascii="Arial" w:hAnsi="Arial" w:cs="Arial"/>
          <w:sz w:val="20"/>
        </w:rPr>
        <w:t>will attempt to ensure that none of its policies discriminate directly or indirectly against any group or individual.</w:t>
      </w:r>
    </w:p>
    <w:p w14:paraId="556025B5" w14:textId="77777777" w:rsidR="001D05BD" w:rsidRDefault="001D05BD">
      <w:pPr>
        <w:pStyle w:val="Numbers"/>
        <w:tabs>
          <w:tab w:val="left" w:pos="0"/>
        </w:tabs>
        <w:spacing w:after="0"/>
        <w:jc w:val="left"/>
        <w:rPr>
          <w:rFonts w:ascii="Arial" w:hAnsi="Arial" w:cs="Arial"/>
          <w:sz w:val="20"/>
        </w:rPr>
      </w:pPr>
    </w:p>
    <w:p w14:paraId="64936CFD" w14:textId="77777777" w:rsidR="001D05BD" w:rsidRDefault="001D05BD">
      <w:pPr>
        <w:pStyle w:val="Numbers"/>
        <w:tabs>
          <w:tab w:val="left" w:pos="0"/>
        </w:tabs>
        <w:spacing w:after="0"/>
        <w:rPr>
          <w:rFonts w:ascii="Arial" w:hAnsi="Arial" w:cs="Arial"/>
          <w:sz w:val="20"/>
          <w:u w:val="single"/>
        </w:rPr>
      </w:pPr>
      <w:r>
        <w:rPr>
          <w:rFonts w:ascii="Arial" w:hAnsi="Arial" w:cs="Arial"/>
          <w:sz w:val="20"/>
          <w:u w:val="single"/>
        </w:rPr>
        <w:t>Data Collection</w:t>
      </w:r>
    </w:p>
    <w:p w14:paraId="06C916C2" w14:textId="77777777" w:rsidR="00C97720" w:rsidRDefault="00C97720">
      <w:pPr>
        <w:pStyle w:val="Numbers"/>
        <w:tabs>
          <w:tab w:val="left" w:pos="0"/>
        </w:tabs>
        <w:spacing w:after="0"/>
        <w:rPr>
          <w:rFonts w:ascii="Arial" w:hAnsi="Arial" w:cs="Arial"/>
          <w:color w:val="000000"/>
          <w:sz w:val="20"/>
        </w:rPr>
      </w:pPr>
    </w:p>
    <w:p w14:paraId="6B7AB2B7" w14:textId="06A43F56" w:rsidR="001D05BD" w:rsidRPr="00562DFB" w:rsidRDefault="00513E0F">
      <w:pPr>
        <w:pStyle w:val="Numbers"/>
        <w:tabs>
          <w:tab w:val="left" w:pos="0"/>
        </w:tabs>
        <w:spacing w:after="0"/>
        <w:rPr>
          <w:rFonts w:ascii="Arial" w:hAnsi="Arial" w:cs="Arial"/>
          <w:strike/>
          <w:color w:val="FF0000"/>
          <w:sz w:val="20"/>
        </w:rPr>
      </w:pPr>
      <w:r>
        <w:rPr>
          <w:rFonts w:ascii="Arial" w:hAnsi="Arial" w:cs="Arial"/>
          <w:color w:val="000000"/>
          <w:sz w:val="20"/>
        </w:rPr>
        <w:t>LTB</w:t>
      </w:r>
      <w:r w:rsidR="00A70E8D">
        <w:rPr>
          <w:rFonts w:ascii="Arial" w:hAnsi="Arial" w:cs="Arial"/>
          <w:color w:val="000000"/>
          <w:sz w:val="20"/>
        </w:rPr>
        <w:t xml:space="preserve"> </w:t>
      </w:r>
      <w:r w:rsidR="001D05BD">
        <w:rPr>
          <w:rFonts w:ascii="Arial" w:hAnsi="Arial" w:cs="Arial"/>
          <w:sz w:val="20"/>
        </w:rPr>
        <w:t xml:space="preserve">complies with the requirement of the Data Protection Act.  </w:t>
      </w:r>
      <w:r w:rsidR="007B52C7">
        <w:rPr>
          <w:rFonts w:ascii="Arial" w:hAnsi="Arial" w:cs="Arial"/>
          <w:strike/>
          <w:color w:val="FF0000"/>
          <w:sz w:val="20"/>
        </w:rPr>
        <w:t xml:space="preserve"> </w:t>
      </w:r>
    </w:p>
    <w:p w14:paraId="5D27170E" w14:textId="77777777" w:rsidR="001D05BD" w:rsidRDefault="001D05BD">
      <w:pPr>
        <w:pStyle w:val="Numbers"/>
        <w:tabs>
          <w:tab w:val="left" w:pos="0"/>
        </w:tabs>
        <w:spacing w:after="0"/>
        <w:rPr>
          <w:rFonts w:ascii="Arial" w:hAnsi="Arial" w:cs="Arial"/>
          <w:sz w:val="20"/>
        </w:rPr>
      </w:pPr>
    </w:p>
    <w:p w14:paraId="3FAC689A" w14:textId="69CCF467" w:rsidR="001D05BD" w:rsidRDefault="001D05BD">
      <w:pPr>
        <w:pStyle w:val="Numbers"/>
        <w:tabs>
          <w:tab w:val="left" w:pos="0"/>
        </w:tabs>
        <w:spacing w:after="0"/>
        <w:jc w:val="left"/>
        <w:rPr>
          <w:rFonts w:ascii="Arial" w:hAnsi="Arial" w:cs="Arial"/>
          <w:sz w:val="20"/>
        </w:rPr>
      </w:pPr>
      <w:r>
        <w:rPr>
          <w:rFonts w:ascii="Arial" w:hAnsi="Arial" w:cs="Arial"/>
          <w:sz w:val="20"/>
        </w:rPr>
        <w:t>Th</w:t>
      </w:r>
      <w:r w:rsidR="00A37A33">
        <w:rPr>
          <w:rFonts w:ascii="Arial" w:hAnsi="Arial" w:cs="Arial"/>
          <w:sz w:val="20"/>
        </w:rPr>
        <w:t xml:space="preserve">e LTB </w:t>
      </w:r>
      <w:r w:rsidR="00A37A33" w:rsidRPr="007B52C7">
        <w:rPr>
          <w:rFonts w:ascii="Arial" w:hAnsi="Arial" w:cs="Arial"/>
          <w:sz w:val="20"/>
        </w:rPr>
        <w:t xml:space="preserve">data </w:t>
      </w:r>
      <w:r w:rsidRPr="007B52C7">
        <w:rPr>
          <w:rFonts w:ascii="Arial" w:hAnsi="Arial" w:cs="Arial"/>
          <w:sz w:val="20"/>
        </w:rPr>
        <w:t xml:space="preserve">policy </w:t>
      </w:r>
      <w:r>
        <w:rPr>
          <w:rFonts w:ascii="Arial" w:hAnsi="Arial" w:cs="Arial"/>
          <w:sz w:val="20"/>
        </w:rPr>
        <w:t>will be reviewed on an ongoing basis and amended in line with new developments in Equality and Diversity best practice.</w:t>
      </w:r>
    </w:p>
    <w:p w14:paraId="5435A0BB" w14:textId="77777777" w:rsidR="001D05BD" w:rsidRDefault="001D05BD">
      <w:pPr>
        <w:rPr>
          <w:rFonts w:ascii="Arial" w:hAnsi="Arial" w:cs="Arial"/>
          <w:sz w:val="20"/>
        </w:rPr>
      </w:pPr>
    </w:p>
    <w:p w14:paraId="2863F609" w14:textId="77777777" w:rsidR="001D05BD" w:rsidRDefault="001D05BD">
      <w:pPr>
        <w:pStyle w:val="Title"/>
        <w:widowControl w:val="0"/>
        <w:tabs>
          <w:tab w:val="left" w:pos="1800"/>
        </w:tabs>
        <w:jc w:val="left"/>
      </w:pPr>
    </w:p>
    <w:sectPr w:rsidR="001D05BD">
      <w:footerReference w:type="default" r:id="rId7"/>
      <w:pgSz w:w="11905" w:h="16837"/>
      <w:pgMar w:top="1440" w:right="1080" w:bottom="1440" w:left="1080" w:header="7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46611" w14:textId="77777777" w:rsidR="00A90786" w:rsidRDefault="00A90786">
      <w:r>
        <w:separator/>
      </w:r>
    </w:p>
  </w:endnote>
  <w:endnote w:type="continuationSeparator" w:id="0">
    <w:p w14:paraId="569A2A8A" w14:textId="77777777" w:rsidR="00A90786" w:rsidRDefault="00A9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F28D" w14:textId="7162B712" w:rsidR="001D05BD" w:rsidRDefault="001D05BD">
    <w:pPr>
      <w:pStyle w:val="Footer"/>
      <w:rPr>
        <w:rFonts w:ascii="Arial" w:hAnsi="Arial" w:cs="Arial"/>
        <w:b w:val="0"/>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58A36" w14:textId="77777777" w:rsidR="00A90786" w:rsidRDefault="00A90786">
      <w:r>
        <w:separator/>
      </w:r>
    </w:p>
  </w:footnote>
  <w:footnote w:type="continuationSeparator" w:id="0">
    <w:p w14:paraId="1D1654D6" w14:textId="77777777" w:rsidR="00A90786" w:rsidRDefault="00A90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567"/>
        </w:tabs>
        <w:ind w:left="567" w:hanging="283"/>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num w:numId="1" w16cid:durableId="417022234">
    <w:abstractNumId w:val="0"/>
  </w:num>
  <w:num w:numId="2" w16cid:durableId="1148790938">
    <w:abstractNumId w:val="1"/>
  </w:num>
  <w:num w:numId="3" w16cid:durableId="1408763588">
    <w:abstractNumId w:val="2"/>
  </w:num>
  <w:num w:numId="4" w16cid:durableId="728655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1E"/>
    <w:rsid w:val="0002732C"/>
    <w:rsid w:val="001D05BD"/>
    <w:rsid w:val="001F527B"/>
    <w:rsid w:val="002F1E1E"/>
    <w:rsid w:val="00513E0F"/>
    <w:rsid w:val="00562DFB"/>
    <w:rsid w:val="00590D1A"/>
    <w:rsid w:val="007B52C7"/>
    <w:rsid w:val="007E6DDC"/>
    <w:rsid w:val="009A09F4"/>
    <w:rsid w:val="00A37A33"/>
    <w:rsid w:val="00A70E8D"/>
    <w:rsid w:val="00A90786"/>
    <w:rsid w:val="00B73BC1"/>
    <w:rsid w:val="00C97720"/>
    <w:rsid w:val="00D6597D"/>
    <w:rsid w:val="00EB2FDF"/>
    <w:rsid w:val="00EB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F05479F"/>
  <w15:chartTrackingRefBased/>
  <w15:docId w15:val="{97FFB0EB-9269-432F-BF80-55B762EF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jc w:val="both"/>
    </w:pPr>
    <w:rPr>
      <w:kern w:val="1"/>
      <w:sz w:val="22"/>
      <w:lang w:eastAsia="ar-SA"/>
    </w:rPr>
  </w:style>
  <w:style w:type="paragraph" w:styleId="Heading1">
    <w:name w:val="heading 1"/>
    <w:basedOn w:val="Normal"/>
    <w:next w:val="Normal"/>
    <w:qFormat/>
    <w:pPr>
      <w:keepNext/>
      <w:numPr>
        <w:numId w:val="1"/>
      </w:numPr>
      <w:outlineLvl w:val="0"/>
    </w:pPr>
    <w:rPr>
      <w:b/>
      <w:sz w:val="28"/>
      <w:szCs w:val="28"/>
    </w:rPr>
  </w:style>
  <w:style w:type="paragraph" w:styleId="Heading2">
    <w:name w:val="heading 2"/>
    <w:basedOn w:val="Normal"/>
    <w:next w:val="Normal"/>
    <w:qFormat/>
    <w:pPr>
      <w:keepNext/>
      <w:numPr>
        <w:ilvl w:val="1"/>
        <w:numId w:val="1"/>
      </w:numPr>
      <w:outlineLvl w:val="1"/>
    </w:pPr>
    <w:rPr>
      <w:b/>
      <w:szCs w:val="24"/>
    </w:rPr>
  </w:style>
  <w:style w:type="paragraph" w:styleId="Heading3">
    <w:name w:val="heading 3"/>
    <w:basedOn w:val="Normal"/>
    <w:next w:val="Normal"/>
    <w:qFormat/>
    <w:pPr>
      <w:keepNext/>
      <w:numPr>
        <w:ilvl w:val="2"/>
        <w:numId w:val="1"/>
      </w:numPr>
      <w:outlineLvl w:val="2"/>
    </w:pPr>
    <w:rPr>
      <w:i/>
    </w:rPr>
  </w:style>
  <w:style w:type="paragraph" w:styleId="Heading4">
    <w:name w:val="heading 4"/>
    <w:basedOn w:val="Normal"/>
    <w:next w:val="Normal"/>
    <w:qFormat/>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8Num2z4">
    <w:name w:val="WW8Num2z4"/>
    <w:rPr>
      <w:rFonts w:ascii="Symbol" w:hAnsi="Symbol"/>
    </w:rPr>
  </w:style>
  <w:style w:type="character" w:customStyle="1" w:styleId="WW8Num4z4">
    <w:name w:val="WW8Num4z4"/>
    <w:rPr>
      <w:rFonts w:ascii="Symbol" w:hAnsi="Symbol"/>
    </w:rPr>
  </w:style>
  <w:style w:type="character" w:customStyle="1" w:styleId="WW8Num5z4">
    <w:name w:val="WW8Num5z4"/>
    <w:rPr>
      <w:rFonts w:ascii="Symbol" w:hAnsi="Symbol"/>
    </w:rPr>
  </w:style>
  <w:style w:type="character" w:customStyle="1" w:styleId="WW8Num6z4">
    <w:name w:val="WW8Num6z4"/>
    <w:rPr>
      <w:rFonts w:ascii="Symbol" w:hAnsi="Symbol"/>
    </w:rPr>
  </w:style>
  <w:style w:type="character" w:customStyle="1" w:styleId="WW8Num8z4">
    <w:name w:val="WW8Num8z4"/>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4">
    <w:name w:val="WW8Num14z4"/>
    <w:rPr>
      <w:rFonts w:ascii="Symbol" w:hAnsi="Symbol"/>
    </w:rPr>
  </w:style>
  <w:style w:type="character" w:customStyle="1" w:styleId="WW8Num16z0">
    <w:name w:val="WW8Num16z0"/>
    <w:rPr>
      <w:rFonts w:ascii="Times New Roman" w:hAnsi="Times New Roman"/>
      <w:b w:val="0"/>
      <w:i w:val="0"/>
      <w:caps w:val="0"/>
      <w:smallCaps w:val="0"/>
      <w:sz w:val="22"/>
    </w:rPr>
  </w:style>
  <w:style w:type="character" w:customStyle="1" w:styleId="WW8Num18z4">
    <w:name w:val="WW8Num18z4"/>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6z0">
    <w:name w:val="WW8Num26z0"/>
    <w:rPr>
      <w:rFonts w:ascii="Times New Roman" w:hAnsi="Times New Roman"/>
      <w:b/>
      <w:i w:val="0"/>
      <w:caps/>
      <w:sz w:val="22"/>
    </w:rPr>
  </w:style>
  <w:style w:type="character" w:customStyle="1" w:styleId="WW8Num27z4">
    <w:name w:val="WW8Num27z4"/>
    <w:rPr>
      <w:rFonts w:ascii="Symbol" w:hAnsi="Symbol"/>
    </w:rPr>
  </w:style>
  <w:style w:type="character" w:customStyle="1" w:styleId="WW8Num29z4">
    <w:name w:val="WW8Num29z4"/>
    <w:rPr>
      <w:rFonts w:ascii="Symbol" w:hAnsi="Symbol"/>
    </w:rPr>
  </w:style>
  <w:style w:type="character" w:styleId="PageNumber">
    <w:name w:val="page number"/>
    <w:basedOn w:val="DefaultParagraphFont"/>
  </w:style>
  <w:style w:type="character" w:customStyle="1" w:styleId="BodyTextIndentChar">
    <w:name w:val="Body Text Indent Char"/>
    <w:basedOn w:val="DefaultParagraphFont"/>
    <w:rPr>
      <w:sz w:val="22"/>
    </w:rPr>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pPr>
      <w:suppressAutoHyphens/>
    </w:pPr>
    <w:rPr>
      <w:rFonts w:eastAsia="Arial"/>
      <w:kern w:val="1"/>
      <w:sz w:val="22"/>
      <w:lang w:eastAsia="ar-SA"/>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rPr>
      <w:b/>
      <w:i/>
      <w:sz w:val="20"/>
    </w:rPr>
  </w:style>
  <w:style w:type="paragraph" w:styleId="Footer">
    <w:name w:val="footer"/>
    <w:basedOn w:val="Header"/>
  </w:style>
  <w:style w:type="paragraph" w:customStyle="1" w:styleId="Numbers">
    <w:name w:val="Numbers"/>
    <w:basedOn w:val="Normal"/>
    <w:pPr>
      <w:spacing w:after="220"/>
    </w:pPr>
  </w:style>
  <w:style w:type="paragraph" w:customStyle="1" w:styleId="Indentedparagraph">
    <w:name w:val="Indented paragraph"/>
    <w:basedOn w:val="Normal"/>
    <w:pPr>
      <w:spacing w:after="220"/>
      <w:ind w:left="720"/>
      <w:jc w:val="left"/>
    </w:pPr>
  </w:style>
  <w:style w:type="paragraph" w:customStyle="1" w:styleId="Nolines">
    <w:name w:val="No lines"/>
    <w:basedOn w:val="Normal"/>
    <w:pPr>
      <w:spacing w:after="120"/>
      <w:ind w:right="-101"/>
      <w:jc w:val="right"/>
    </w:pPr>
  </w:style>
  <w:style w:type="paragraph" w:customStyle="1" w:styleId="Sub-total">
    <w:name w:val="Sub-total"/>
    <w:basedOn w:val="Normal"/>
    <w:pPr>
      <w:spacing w:after="120"/>
      <w:ind w:right="-101"/>
      <w:jc w:val="right"/>
    </w:pPr>
  </w:style>
  <w:style w:type="paragraph" w:customStyle="1" w:styleId="Total">
    <w:name w:val="Total"/>
    <w:basedOn w:val="Normal"/>
    <w:pPr>
      <w:ind w:right="-101"/>
      <w:jc w:val="right"/>
    </w:pPr>
  </w:style>
  <w:style w:type="paragraph" w:styleId="BlockText">
    <w:name w:val="Block Text"/>
    <w:basedOn w:val="Normal"/>
    <w:pPr>
      <w:spacing w:after="120"/>
      <w:ind w:left="1440" w:right="1440"/>
    </w:pPr>
  </w:style>
  <w:style w:type="paragraph" w:customStyle="1" w:styleId="Bullets">
    <w:name w:val="Bullets"/>
    <w:basedOn w:val="Normal"/>
    <w:pPr>
      <w:ind w:left="720" w:hanging="720"/>
    </w:pPr>
  </w:style>
  <w:style w:type="paragraph" w:customStyle="1" w:styleId="DoubleUnderline">
    <w:name w:val="Double Underline"/>
    <w:basedOn w:val="Total"/>
  </w:style>
  <w:style w:type="paragraph" w:customStyle="1" w:styleId="CFIDSub-total">
    <w:name w:val="CFID Sub-total"/>
    <w:basedOn w:val="Sub-total"/>
    <w:pPr>
      <w:ind w:right="0"/>
    </w:pPr>
  </w:style>
  <w:style w:type="paragraph" w:customStyle="1" w:styleId="CFIDTotal">
    <w:name w:val="CFID Total"/>
    <w:basedOn w:val="Total"/>
    <w:pPr>
      <w:ind w:right="0"/>
    </w:pPr>
  </w:style>
  <w:style w:type="paragraph" w:customStyle="1" w:styleId="CFIDDoubleUnderline">
    <w:name w:val="CFID Double Underline"/>
    <w:basedOn w:val="DoubleUnderline"/>
    <w:pPr>
      <w:ind w:right="0"/>
    </w:pPr>
  </w:style>
  <w:style w:type="paragraph" w:customStyle="1" w:styleId="CFIDNoLines">
    <w:name w:val="CFID No Lines"/>
    <w:basedOn w:val="Nolines"/>
    <w:pPr>
      <w:ind w:right="0"/>
    </w:pPr>
  </w:style>
  <w:style w:type="paragraph" w:customStyle="1" w:styleId="Style1">
    <w:name w:val="Style1"/>
    <w:basedOn w:val="Normal"/>
    <w:pPr>
      <w:jc w:val="left"/>
    </w:pPr>
    <w:rPr>
      <w:sz w:val="24"/>
    </w:rPr>
  </w:style>
  <w:style w:type="paragraph" w:customStyle="1" w:styleId="Style2">
    <w:name w:val="Style2"/>
    <w:basedOn w:val="Normal"/>
    <w:next w:val="Normal"/>
    <w:pPr>
      <w:jc w:val="left"/>
    </w:pPr>
    <w:rPr>
      <w:sz w:val="24"/>
    </w:rPr>
  </w:style>
  <w:style w:type="paragraph" w:customStyle="1" w:styleId="1AutoList1">
    <w:name w:val="1AutoList1"/>
    <w:pPr>
      <w:widowControl w:val="0"/>
      <w:tabs>
        <w:tab w:val="left" w:pos="2160"/>
      </w:tabs>
      <w:suppressAutoHyphens/>
      <w:autoSpaceDE w:val="0"/>
      <w:ind w:left="720" w:hanging="720"/>
      <w:jc w:val="both"/>
    </w:pPr>
    <w:rPr>
      <w:rFonts w:ascii="Courier" w:eastAsia="Arial" w:hAnsi="Courier"/>
      <w:kern w:val="1"/>
      <w:sz w:val="24"/>
      <w:szCs w:val="24"/>
      <w:lang w:eastAsia="ar-SA"/>
    </w:rPr>
  </w:style>
  <w:style w:type="paragraph" w:styleId="Title">
    <w:name w:val="Title"/>
    <w:basedOn w:val="Normal"/>
    <w:next w:val="Subtitle"/>
    <w:qFormat/>
    <w:pPr>
      <w:jc w:val="center"/>
    </w:pPr>
    <w:rPr>
      <w:rFonts w:ascii="Arial" w:hAnsi="Arial"/>
      <w:b/>
      <w:sz w:val="20"/>
      <w:u w:val="single"/>
    </w:rPr>
  </w:style>
  <w:style w:type="paragraph" w:styleId="Subtitle">
    <w:name w:val="Subtitle"/>
    <w:basedOn w:val="Heading"/>
    <w:next w:val="BodyText"/>
    <w:qFormat/>
    <w:pPr>
      <w:jc w:val="center"/>
    </w:pPr>
    <w:rPr>
      <w:i/>
      <w:iCs/>
    </w:rPr>
  </w:style>
  <w:style w:type="paragraph" w:styleId="BodyTextIndent">
    <w:name w:val="Body Text Indent"/>
    <w:basedOn w:val="Normal"/>
    <w:pPr>
      <w:spacing w:after="120"/>
      <w:ind w:left="283"/>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5A55023E9AD24D9C378EBC281C0874" ma:contentTypeVersion="12" ma:contentTypeDescription="Create a new document." ma:contentTypeScope="" ma:versionID="913ebc8a4c3ed82085873fa88b5212ca">
  <xsd:schema xmlns:xsd="http://www.w3.org/2001/XMLSchema" xmlns:xs="http://www.w3.org/2001/XMLSchema" xmlns:p="http://schemas.microsoft.com/office/2006/metadata/properties" xmlns:ns2="9eea002c-9396-4e1c-90ba-81fd5c5bb57d" xmlns:ns3="7e618911-af4d-44ef-8a76-c69d29542036" targetNamespace="http://schemas.microsoft.com/office/2006/metadata/properties" ma:root="true" ma:fieldsID="1a6978329a14c1cd207244006140be18" ns2:_="" ns3:_="">
    <xsd:import namespace="9eea002c-9396-4e1c-90ba-81fd5c5bb57d"/>
    <xsd:import namespace="7e618911-af4d-44ef-8a76-c69d295420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002c-9396-4e1c-90ba-81fd5c5bb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8306dc-c898-4ddd-93ba-ebfdadd862e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18911-af4d-44ef-8a76-c69d2954203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070b59c-354c-4cd2-9235-82660625087c}" ma:internalName="TaxCatchAll" ma:showField="CatchAllData" ma:web="7e618911-af4d-44ef-8a76-c69d295420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e618911-af4d-44ef-8a76-c69d29542036" xsi:nil="true"/>
    <lcf76f155ced4ddcb4097134ff3c332f xmlns="9eea002c-9396-4e1c-90ba-81fd5c5bb5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3CF6F5-6E2B-4FA9-8622-8B1D521123A1}"/>
</file>

<file path=customXml/itemProps2.xml><?xml version="1.0" encoding="utf-8"?>
<ds:datastoreItem xmlns:ds="http://schemas.openxmlformats.org/officeDocument/2006/customXml" ds:itemID="{07092F62-7A14-4CE5-9B71-1085B3B65672}"/>
</file>

<file path=customXml/itemProps3.xml><?xml version="1.0" encoding="utf-8"?>
<ds:datastoreItem xmlns:ds="http://schemas.openxmlformats.org/officeDocument/2006/customXml" ds:itemID="{4BD1381E-85F0-43C2-A28C-3E3D6349EE1B}"/>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 understand that if I want a policy that reflects the latest legislation and is appropriate to my organisation, I will seek specialist legal advice</vt:lpstr>
    </vt:vector>
  </TitlesOfParts>
  <Company>Time Banks UK</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understand that if I want a policy that reflects the latest legislation and is appropriate to my organisation, I will seek specialist legal advice</dc:title>
  <dc:subject/>
  <dc:creator>Angela Connick</dc:creator>
  <cp:keywords/>
  <cp:lastModifiedBy>Taylor Williams</cp:lastModifiedBy>
  <cp:revision>2</cp:revision>
  <cp:lastPrinted>2009-04-14T08:14:00Z</cp:lastPrinted>
  <dcterms:created xsi:type="dcterms:W3CDTF">2023-05-31T15:25:00Z</dcterms:created>
  <dcterms:modified xsi:type="dcterms:W3CDTF">2023-05-31T15:25:00Z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0x010100EB5A55023E9AD24D9C378EBC281C0874</vt:lpwstr>
  </property>
</Properties>
</file>